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1 Закона о организацији и надлежности државних органа за борбу против високотехнолошког криминала;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Рачунарска превара из члана 301, став____(унети)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унело нетачан податак, пропустило да унесе тачан податак или на други начин прикрило или лажно приказало податак и тиме утицало на резултат електронске обраде и преноса података а у намери да себи или другом прибави против правну имовинску корист и тиме другом проузрокује имовинску штету, и то на следећи начин: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Рачунарска превара из члана 301 став___(унети)  КЗ-а.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лажно прикаже податак и тиме утиче на резултат електронске обраде са намером да себи прибави противправну имовинску корист и другом проузрокује имовинску штету)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Рачунарска превара  из члана 301, став___(унети)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