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Неовлашћено објаљивање и приказивање туђег списа, портрета и снима из члана 145,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објавило или приказало спис, портрет, фотографију, филм или фонограм личног карактера без пристанка лица које је спис сатавило или на кога се спис односи. односно без пристанка лица које је приказано на портрету, фотографији или филму или чији је глас снимљен на фонограму или без пристанка другог лица чији се пристанак по закону тражи и тиме осетно задрло у лични живот тог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b w:val="1"/>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Неовлашћено објаљивање и приказивање туђег списа, портрета и снима из члана 145,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објави фотографија личног карактера без пристанка лица које је приказано на фотографији и тиме осетно задре у лични живот тог лица)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Неовлашћено објаљивање и приказивање туђег списа, портрета и снима из члана 145,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